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C967" w14:textId="69D511F8" w:rsidR="002775B1" w:rsidRPr="00ED5724" w:rsidRDefault="002775B1" w:rsidP="00ED572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63636"/>
          <w:kern w:val="36"/>
          <w:sz w:val="28"/>
          <w:szCs w:val="28"/>
          <w:u w:val="single"/>
          <w:lang w:eastAsia="sk-SK"/>
        </w:rPr>
      </w:pPr>
      <w:r w:rsidRPr="00ED5724">
        <w:rPr>
          <w:rFonts w:ascii="Times New Roman" w:eastAsia="Times New Roman" w:hAnsi="Times New Roman" w:cs="Times New Roman"/>
          <w:b/>
          <w:color w:val="363636"/>
          <w:kern w:val="36"/>
          <w:sz w:val="28"/>
          <w:szCs w:val="28"/>
          <w:u w:val="single"/>
          <w:lang w:eastAsia="sk-SK"/>
        </w:rPr>
        <w:t>Implementácia bezpečnostných opatrení</w:t>
      </w:r>
    </w:p>
    <w:p w14:paraId="53A7F6C9" w14:textId="379F2892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Bezpečnosť a rovnako aj implementácia bezpečnostných opatrení je cyklický a nikdy nekončiaci proces. A tak k nim treba aj pristupovať. Cyklickosť bezpečnosti a cyklickosť implementácie bezpečnostných opatrení najlepšie popisuje a vystihuje tzv. </w:t>
      </w:r>
      <w:proofErr w:type="spellStart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Demingov</w:t>
      </w:r>
      <w:proofErr w:type="spellEnd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model (PDCA – </w:t>
      </w:r>
      <w:proofErr w:type="spellStart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plan</w:t>
      </w:r>
      <w:proofErr w:type="spellEnd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-do-</w:t>
      </w:r>
      <w:proofErr w:type="spellStart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check</w:t>
      </w:r>
      <w:proofErr w:type="spellEnd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-</w:t>
      </w:r>
      <w:proofErr w:type="spellStart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act</w:t>
      </w:r>
      <w:proofErr w:type="spellEnd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), ktorý znázorňuje jednotlivé fázy implementácie bezpečnostných opatrení a ich neustále sa opakovanie. Ak si teda predstavujete implementáciu </w:t>
      </w:r>
      <w:r w:rsid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b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ezpečnostných opatrení ako jednorazový proces alebo jednorazovú aktivitu, ste na omyle. Na ich plánovaní, vykonaní, neustálom overovaní a zlepšovaní treba v rámci každej jednej organizácie neustále pracovať.</w:t>
      </w:r>
    </w:p>
    <w:p w14:paraId="6DB36637" w14:textId="77777777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noProof/>
          <w:color w:val="363636"/>
          <w:sz w:val="24"/>
          <w:szCs w:val="24"/>
          <w:lang w:eastAsia="sk-SK"/>
        </w:rPr>
        <w:drawing>
          <wp:inline distT="0" distB="0" distL="0" distR="0" wp14:anchorId="5DCF39CF" wp14:editId="71E9A5DE">
            <wp:extent cx="5713730" cy="3778885"/>
            <wp:effectExtent l="19050" t="0" r="1270" b="0"/>
            <wp:docPr id="1" name="Obrázok 1" descr="Demingov model PDC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mingov model PDC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77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654D16" w14:textId="77777777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Obr.č.1: </w:t>
      </w:r>
      <w:proofErr w:type="spellStart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Demingov</w:t>
      </w:r>
      <w:proofErr w:type="spellEnd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model PDCA</w:t>
      </w:r>
    </w:p>
    <w:p w14:paraId="474AF745" w14:textId="77777777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</w:t>
      </w:r>
    </w:p>
    <w:p w14:paraId="21FCE756" w14:textId="7C72D612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Na to, aby sme v rámci organizácie dosiahli primeranú a náležitú ochranu informačných aktív, je nevyhnutná komplexná fáza plánovania. V rámci plánovania pri riešení </w:t>
      </w:r>
      <w:r w:rsidR="00ED5724" w:rsidRP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kybernetickej</w:t>
      </w:r>
      <w:r w:rsid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a informačnej</w:t>
      </w:r>
      <w:r w:rsidR="00ED5724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bezpečnosti odporúčame vybrať si rámec (</w:t>
      </w:r>
      <w:proofErr w:type="spellStart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framework</w:t>
      </w:r>
      <w:proofErr w:type="spellEnd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) alebo štandard </w:t>
      </w:r>
      <w:r w:rsidRPr="002775B1">
        <w:rPr>
          <w:rFonts w:ascii="Times New Roman" w:eastAsia="Times New Roman" w:hAnsi="Times New Roman" w:cs="Times New Roman"/>
          <w:b/>
          <w:bCs/>
          <w:color w:val="009061"/>
          <w:sz w:val="24"/>
          <w:szCs w:val="24"/>
          <w:lang w:eastAsia="sk-SK"/>
        </w:rPr>
        <w:t>1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podľa ktorého bude organizácia postupovať. Od prijatia zákona o kybernetickej bezpečnosti </w:t>
      </w:r>
      <w:r w:rsidRPr="002775B1">
        <w:rPr>
          <w:rFonts w:ascii="Times New Roman" w:eastAsia="Times New Roman" w:hAnsi="Times New Roman" w:cs="Times New Roman"/>
          <w:b/>
          <w:bCs/>
          <w:color w:val="009061"/>
          <w:sz w:val="24"/>
          <w:szCs w:val="24"/>
          <w:lang w:eastAsia="sk-SK"/>
        </w:rPr>
        <w:t>2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(ďalej len „Zákon“), ktorý nadobudol účinnosť 1. apríla 2018, je tento rámec daný všeobecne záväzným právnym predpisom, z ktorého je potrebné vychádzať. Ide najmä o povinnosť prijať bezpečnostné opatrenia alebo primerané bezpečnostné opatrenia. Prijať bezpečnostné opatrenia sa v úplnom alebo primeranom rozsahu vzťahuje na ústredné orgány podľa </w:t>
      </w:r>
      <w:hyperlink r:id="rId8" w:history="1">
        <w:r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§ 4 písm. a)</w:t>
        </w:r>
      </w:hyperlink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Zákona </w:t>
      </w:r>
      <w:r w:rsidRPr="002775B1">
        <w:rPr>
          <w:rFonts w:ascii="Times New Roman" w:eastAsia="Times New Roman" w:hAnsi="Times New Roman" w:cs="Times New Roman"/>
          <w:b/>
          <w:bCs/>
          <w:color w:val="009061"/>
          <w:sz w:val="24"/>
          <w:szCs w:val="24"/>
          <w:lang w:eastAsia="sk-SK"/>
        </w:rPr>
        <w:t>3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(aplikuje bezpečnostné opatrenia), iné orgány štátnej správy podľa </w:t>
      </w:r>
      <w:hyperlink r:id="rId9" w:history="1">
        <w:r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§ 4 písm. b)</w:t>
        </w:r>
      </w:hyperlink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Zákona </w:t>
      </w:r>
      <w:r w:rsidRPr="002775B1">
        <w:rPr>
          <w:rFonts w:ascii="Times New Roman" w:eastAsia="Times New Roman" w:hAnsi="Times New Roman" w:cs="Times New Roman"/>
          <w:b/>
          <w:bCs/>
          <w:color w:val="009061"/>
          <w:sz w:val="24"/>
          <w:szCs w:val="24"/>
          <w:lang w:eastAsia="sk-SK"/>
        </w:rPr>
        <w:t>4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(prijímajú a dodržiavajú vhodné a primerané bezpečnostné opatrenia podľa </w:t>
      </w:r>
      <w:hyperlink r:id="rId10" w:history="1">
        <w:r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§ 20 </w:t>
        </w:r>
      </w:hyperlink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Zákona), ako aj na </w:t>
      </w:r>
      <w:hyperlink r:id="rId11" w:history="1">
        <w:r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prevádzkovateľov základnej služby</w:t>
        </w:r>
      </w:hyperlink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 (prijímajú a dodržiavajú všeobecné bezpečnostné opatrenia najmenej v rozsahu bezpečnostných opatrení podľa </w:t>
      </w:r>
      <w:hyperlink r:id="rId12" w:history="1">
        <w:r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§ 20</w:t>
        </w:r>
      </w:hyperlink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a sektorové bezpečnostné opatrenia, ak sú prijaté) a v neposlednom rade aj na </w:t>
      </w:r>
      <w:hyperlink r:id="rId13" w:history="1">
        <w:r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poskytovateľov digitálnej služby</w:t>
        </w:r>
      </w:hyperlink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  (prijímajú a dodržiavajú vhodné a primerané bezpečnostné opatrenia na 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lastRenderedPageBreak/>
        <w:t>účely riadenia rizík súvisiacich s ohrozením kontinuity digitálnej služby a procesu riešenia kybernetických bezpečnostných incidentov).</w:t>
      </w:r>
    </w:p>
    <w:p w14:paraId="7E439CD7" w14:textId="79B0F3AA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Bezpečnostnými opatreniami sa podľa </w:t>
      </w:r>
      <w:hyperlink r:id="rId14" w:history="1">
        <w:r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§ 20</w:t>
        </w:r>
      </w:hyperlink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 Zákona a na účely tohto Zákona rozumejú úlohy, procesy, roly a technológie v troch základných oblastiach (organizačná, personálna a technická), ktorých cieľom je zabezpečenie </w:t>
      </w:r>
      <w:r w:rsidRP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kybernetickej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</w:t>
      </w:r>
      <w:r w:rsid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 informačnej 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bezpečnosti počas životného cyklu sietí a informačných systémov. Bezpečnostné opatrenia sa realizujú v závislosti od klasifikácie informácií a kategorizácie sietí a informačných systémov a v súlade s bezpečnostnými štandardmi v oblasti </w:t>
      </w:r>
      <w:r w:rsidRP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kybernetickej</w:t>
      </w:r>
      <w:r w:rsid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a informačnej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bezpečnosti, pričom klasifikácia informácií a kategorizácia sietí a informačných systémov sa vykonáva na základe významnosti, funkcie a účelu informácií a informačných systémov s ohľadom na dôvernosť, integritu, dostupnosť, kvalitu služby a kontrolnú činnosť.</w:t>
      </w:r>
    </w:p>
    <w:p w14:paraId="02E4D2B4" w14:textId="361043FC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Bezpečnostné opatrenia je potrebné prijímať s cieľom predchádzania </w:t>
      </w:r>
      <w:r w:rsidRP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kybernetickým</w:t>
      </w:r>
      <w:r w:rsid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a informačným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bezpečnostným incidentom a minimalizovania vplyvov kybernetických </w:t>
      </w:r>
      <w:r w:rsid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a informačných</w:t>
      </w:r>
      <w:r w:rsidR="00ED5724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bezpečnostných incidentov na kontinuitu prevádzkovania služby. Bezpečnostné opatrenia sú všeobecné určené pre všetky siete a informačné systémy a sektorové, ktoré sa realizujú na základe špecifík kategorizácie sietí a informačných systémov ústredného orgánu v rozsahu svojej pôsobnosti podľa </w:t>
      </w:r>
      <w:hyperlink r:id="rId15" w:history="1">
        <w:r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prílohy č. 1</w:t>
        </w:r>
      </w:hyperlink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 a v súlade s bezpečnostnými štandardmi v oblasti </w:t>
      </w:r>
      <w:r w:rsidR="00ED5724" w:rsidRP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kybernetickej</w:t>
      </w:r>
      <w:r w:rsid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a informačnej</w:t>
      </w:r>
      <w:r w:rsidR="00ED5724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bezpečnosti.</w:t>
      </w:r>
    </w:p>
    <w:p w14:paraId="1F73FAC4" w14:textId="0CFE2877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Bezpečnostné opatrenia sa prijímajú na základe odporúčaní medzinárodne akceptovaných </w:t>
      </w:r>
      <w:r w:rsidRP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štandardov kybernetickej</w:t>
      </w:r>
      <w:r w:rsid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a informačnej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bezpečnosti alebo iných vecne obdobných postupov a metód so zreteľom na najnovšie poznatky a pri súčasnom identifikovaní rizík, zraniteľností a požiadaviek regulácie v rámci sektora prevádzkovateľa základnej služby podľa </w:t>
      </w:r>
      <w:hyperlink r:id="rId16" w:history="1">
        <w:r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prílohy č. 1</w:t>
        </w:r>
      </w:hyperlink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 Zákona. Bezpečnostné opatrenia, ktorých cieľom je zabezpečenie </w:t>
      </w:r>
      <w:r w:rsidR="00ED5724" w:rsidRP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kybernetickej</w:t>
      </w:r>
      <w:r w:rsid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a informačnej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bezpečnosti počas životného cyklu sietí a informačných systémov, je potrebné prijať predovšetkým pre oblasť:</w:t>
      </w:r>
    </w:p>
    <w:p w14:paraId="3F67ED99" w14:textId="77777777" w:rsidR="002775B1" w:rsidRPr="002775B1" w:rsidRDefault="002775B1" w:rsidP="002775B1">
      <w:pPr>
        <w:numPr>
          <w:ilvl w:val="0"/>
          <w:numId w:val="1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organizácie informačnej bezpečnosti,</w:t>
      </w:r>
    </w:p>
    <w:p w14:paraId="1112E080" w14:textId="77777777" w:rsidR="002775B1" w:rsidRPr="002775B1" w:rsidRDefault="002775B1" w:rsidP="002775B1">
      <w:pPr>
        <w:numPr>
          <w:ilvl w:val="0"/>
          <w:numId w:val="1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riadenia aktív, hrozieb a rizík,</w:t>
      </w:r>
    </w:p>
    <w:p w14:paraId="1C3B40C8" w14:textId="77777777" w:rsidR="002775B1" w:rsidRPr="002775B1" w:rsidRDefault="002775B1" w:rsidP="002775B1">
      <w:pPr>
        <w:numPr>
          <w:ilvl w:val="0"/>
          <w:numId w:val="1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personálnej bezpečnosti,</w:t>
      </w:r>
    </w:p>
    <w:p w14:paraId="2830E790" w14:textId="77777777" w:rsidR="002775B1" w:rsidRPr="002775B1" w:rsidRDefault="002775B1" w:rsidP="002775B1">
      <w:pPr>
        <w:numPr>
          <w:ilvl w:val="0"/>
          <w:numId w:val="1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riadenia dodávateľských služieb, akvizície, vývoja a údržby informačných systémov,</w:t>
      </w:r>
    </w:p>
    <w:p w14:paraId="77304DE9" w14:textId="77777777" w:rsidR="002775B1" w:rsidRPr="002775B1" w:rsidRDefault="002775B1" w:rsidP="002775B1">
      <w:pPr>
        <w:numPr>
          <w:ilvl w:val="0"/>
          <w:numId w:val="1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technických zraniteľností systémov a zariadení,</w:t>
      </w:r>
    </w:p>
    <w:p w14:paraId="1329D23E" w14:textId="77777777" w:rsidR="002775B1" w:rsidRPr="002775B1" w:rsidRDefault="002775B1" w:rsidP="002775B1">
      <w:pPr>
        <w:numPr>
          <w:ilvl w:val="0"/>
          <w:numId w:val="1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riadenia bezpečnosti sietí a informačných systémov,</w:t>
      </w:r>
    </w:p>
    <w:p w14:paraId="46734BE5" w14:textId="77777777" w:rsidR="002775B1" w:rsidRPr="002775B1" w:rsidRDefault="002775B1" w:rsidP="002775B1">
      <w:pPr>
        <w:numPr>
          <w:ilvl w:val="0"/>
          <w:numId w:val="1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riadenia prevádzky,</w:t>
      </w:r>
    </w:p>
    <w:p w14:paraId="503372F2" w14:textId="77777777" w:rsidR="002775B1" w:rsidRPr="002775B1" w:rsidRDefault="002775B1" w:rsidP="002775B1">
      <w:pPr>
        <w:numPr>
          <w:ilvl w:val="0"/>
          <w:numId w:val="1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riadenia prístupov,</w:t>
      </w:r>
    </w:p>
    <w:p w14:paraId="60CD9730" w14:textId="77777777" w:rsidR="002775B1" w:rsidRPr="002775B1" w:rsidRDefault="002775B1" w:rsidP="002775B1">
      <w:pPr>
        <w:numPr>
          <w:ilvl w:val="0"/>
          <w:numId w:val="1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kryptografických opatrení,</w:t>
      </w:r>
    </w:p>
    <w:p w14:paraId="4A2DEE25" w14:textId="77777777" w:rsidR="002775B1" w:rsidRPr="002775B1" w:rsidRDefault="002775B1" w:rsidP="002775B1">
      <w:pPr>
        <w:numPr>
          <w:ilvl w:val="0"/>
          <w:numId w:val="1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riešenia kybernetických bezpečnostných incidentov,</w:t>
      </w:r>
    </w:p>
    <w:p w14:paraId="5F15D5E2" w14:textId="77777777" w:rsidR="002775B1" w:rsidRPr="002775B1" w:rsidRDefault="002775B1" w:rsidP="002775B1">
      <w:pPr>
        <w:numPr>
          <w:ilvl w:val="0"/>
          <w:numId w:val="1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monitorovania, testovania bezpečnosti a bezpečnostných auditov,</w:t>
      </w:r>
    </w:p>
    <w:p w14:paraId="63BB3423" w14:textId="77777777" w:rsidR="002775B1" w:rsidRPr="002775B1" w:rsidRDefault="002775B1" w:rsidP="002775B1">
      <w:pPr>
        <w:numPr>
          <w:ilvl w:val="0"/>
          <w:numId w:val="1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fyzickej bezpečnosti a bezpečnosti prostredia,</w:t>
      </w:r>
    </w:p>
    <w:p w14:paraId="1FCC1848" w14:textId="77777777" w:rsidR="002775B1" w:rsidRPr="002775B1" w:rsidRDefault="002775B1" w:rsidP="002775B1">
      <w:pPr>
        <w:numPr>
          <w:ilvl w:val="0"/>
          <w:numId w:val="1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riadenia kontinuity procesov.</w:t>
      </w:r>
    </w:p>
    <w:p w14:paraId="73CC3568" w14:textId="77777777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Subjekty, ktoré majú povinnosť aplikovať bezpečnostné opatrenia, si môžu zvoliť vlastný konkrétny spôsob ich realizácie. Inými slovami, obsah a štruktúra bezpečnostnej dokumentácie, v ktorej sa popisuje prijímanie a dodržiavanie bezpečnostných opatrení, je stanovená vyhláškou Národného bezpečnostného úradu č. </w:t>
      </w:r>
      <w:hyperlink r:id="rId17" w:history="1">
        <w:r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362/2018 Z. z.</w:t>
        </w:r>
      </w:hyperlink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, ktorou sa ustanovuje obsah bezpečnostných opatrení, obsah a štruktúra bezpečnostnej dokumentácie a rozsah všeobecných bezpečnostných opatrení (ďalej len „Vyhláška o bezpečnostných opatreniach“) a vychádza, resp. je odvodená od požiadaviek a odporúčaní dobrej praxe (</w:t>
      </w:r>
      <w:proofErr w:type="spellStart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best</w:t>
      </w:r>
      <w:proofErr w:type="spellEnd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</w:t>
      </w:r>
      <w:proofErr w:type="spellStart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practice</w:t>
      </w:r>
      <w:proofErr w:type="spellEnd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) v súlade s ISO / IEC 27001, ISO / IEC 27002, COBIT a iné, pričom konkrétny spôsob ich realizácie môže byť odvodený z princípov niektorého z rámcov riadenia bezpečnostnej architektúry, ako napríklad </w:t>
      </w:r>
      <w:proofErr w:type="spellStart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Sherwood</w:t>
      </w:r>
      <w:proofErr w:type="spellEnd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</w:t>
      </w:r>
      <w:proofErr w:type="spellStart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Applied</w:t>
      </w:r>
      <w:proofErr w:type="spellEnd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Business </w:t>
      </w:r>
      <w:proofErr w:type="spellStart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Security</w:t>
      </w:r>
      <w:proofErr w:type="spellEnd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</w:t>
      </w:r>
      <w:proofErr w:type="spellStart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Architecture</w:t>
      </w:r>
      <w:proofErr w:type="spellEnd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(SABSA), resp. TOGAF9. Dôležité je, aby bol cieľ určený vyhláškou o bezpečnostných opatreniach naplnený a zásady a princípy definované v nej dodržané.</w:t>
      </w:r>
    </w:p>
    <w:p w14:paraId="7C29B9E8" w14:textId="4FFDC5A5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Okrem oblastí uvedených v </w:t>
      </w:r>
      <w:hyperlink r:id="rId18" w:history="1">
        <w:r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§ 20 ods. 3</w:t>
        </w:r>
      </w:hyperlink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Zákona a podrobne popísaných v </w:t>
      </w:r>
      <w:hyperlink r:id="rId19" w:history="1">
        <w:r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§ 5 až § 17 vyhlášky</w:t>
        </w:r>
      </w:hyperlink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 o bezpečnostných opatreniach musia bezpečnostné opatrenia zahŕňať najmenej procesy a postupy súvisiace s detekciou, evidenciou a riešením </w:t>
      </w:r>
      <w:r w:rsidR="0061555F" w:rsidRP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kybernetick</w:t>
      </w:r>
      <w:r w:rsid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ých a informačných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bezpečnostných incidentov, a to minimálne:</w:t>
      </w:r>
    </w:p>
    <w:p w14:paraId="67CE0578" w14:textId="182559DD" w:rsidR="002775B1" w:rsidRPr="002775B1" w:rsidRDefault="002775B1" w:rsidP="002775B1">
      <w:pPr>
        <w:numPr>
          <w:ilvl w:val="0"/>
          <w:numId w:val="2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detekciu kybernetických</w:t>
      </w:r>
      <w:r w:rsidR="0061555F" w:rsidRP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</w:t>
      </w:r>
      <w:r w:rsid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a informačných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bezpečnostných incidentov,</w:t>
      </w:r>
    </w:p>
    <w:p w14:paraId="65B4C719" w14:textId="38BFC2C9" w:rsidR="002775B1" w:rsidRPr="002775B1" w:rsidRDefault="002775B1" w:rsidP="002775B1">
      <w:pPr>
        <w:numPr>
          <w:ilvl w:val="0"/>
          <w:numId w:val="2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evidenciu kybernetických</w:t>
      </w:r>
      <w:r w:rsid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a informačných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bezpečnostných incidentov,</w:t>
      </w:r>
    </w:p>
    <w:p w14:paraId="6347099C" w14:textId="407109FA" w:rsidR="002775B1" w:rsidRPr="002775B1" w:rsidRDefault="002775B1" w:rsidP="002775B1">
      <w:pPr>
        <w:numPr>
          <w:ilvl w:val="0"/>
          <w:numId w:val="2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postupy riešenia a riešenie kybernetickýc</w:t>
      </w:r>
      <w:r w:rsid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h</w:t>
      </w:r>
      <w:r w:rsidR="0061555F" w:rsidRP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</w:t>
      </w:r>
      <w:r w:rsid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a informačných</w:t>
      </w:r>
      <w:r w:rsidR="0061555F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bezpečnostných incidentov,</w:t>
      </w:r>
    </w:p>
    <w:p w14:paraId="3748855B" w14:textId="77777777" w:rsidR="002775B1" w:rsidRPr="002775B1" w:rsidRDefault="002775B1" w:rsidP="002775B1">
      <w:pPr>
        <w:numPr>
          <w:ilvl w:val="0"/>
          <w:numId w:val="2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určenie kontaktnej osoby pre prijímanie a evidenciu hlásení,</w:t>
      </w:r>
    </w:p>
    <w:p w14:paraId="7430CC2C" w14:textId="35D7FB68" w:rsidR="002775B1" w:rsidRPr="002775B1" w:rsidRDefault="002775B1" w:rsidP="002775B1">
      <w:pPr>
        <w:numPr>
          <w:ilvl w:val="0"/>
          <w:numId w:val="2"/>
        </w:numPr>
        <w:spacing w:before="100" w:beforeAutospacing="1" w:after="100" w:afterAutospacing="1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pripojenie do komunikačného systému pre hlásenie a riešenie kybernetických </w:t>
      </w:r>
      <w:r w:rsid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a informačných</w:t>
      </w:r>
      <w:r w:rsidR="0061555F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bezpečnostných incidentov a centrálneho systému včasného varovania.</w:t>
      </w:r>
    </w:p>
    <w:p w14:paraId="0F15A534" w14:textId="77777777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Alfou a omegou implementácie bezpečnostných opatrení v organizáciách je schválenie bezpečnostnej dokumentácie, v ktorej sa popíše, ako sa bezpečnostné opatrenia budú prijímať a dodržiavať a ktorá musí byť aktuálna a musí zodpovedať reálnemu stavu. V zmysle vyššie uvedeného </w:t>
      </w:r>
      <w:proofErr w:type="spellStart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Demingovho</w:t>
      </w:r>
      <w:proofErr w:type="spellEnd"/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modelu PDCA nie je ani prijatie a schválenie bezpečnostnej dokumentácie jednorazová aktivita. Bezpečnostná dokumentácia musí byť pravidelne preskúmavaná a revidovaná tak, aby ju organizácia udržiavala aktuálnu, a teda zodpovedajúcu realite a bezpečnostným požiadavkám. Čo sa týka obsahových náležitostí, obsah a štruktúru bezpečnostnej dokumentácie podrobne upravuje </w:t>
      </w:r>
      <w:hyperlink r:id="rId20" w:history="1">
        <w:r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§ 2 vyhlášky</w:t>
        </w:r>
      </w:hyperlink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o bezpečnostných opatreniach.</w:t>
      </w:r>
    </w:p>
    <w:p w14:paraId="4C6F810D" w14:textId="30AF0B17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Bezpečnostná dokumentácia musí obsahovať aj schválenú bezpečnostnú stratégiu kybernetickej </w:t>
      </w:r>
      <w:r w:rsid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 informačnej 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bezpečnosti a bezpečnostné politiky kybernetickej </w:t>
      </w:r>
      <w:r w:rsid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 informačnej 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bezpečnosti. Bezpečnostná stratégia vychádza z výsledkov analýzy rizík a obsahuje predovšetkým ciele a základné princípy na dosiahnutie účelu zabezpečenia kybernetickej </w:t>
      </w:r>
      <w:r w:rsid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 informačnej 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bezpečnosti. Bezpečnostná stratégia je následne podkladom na prijatie bezpečnostnej politiky kybernetickej </w:t>
      </w:r>
      <w:r w:rsid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 informačnej 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bezpečnosti, ktorá sa vytvára pre strategickú úroveň riadenia, čiže pre vedenie organizácie. Politiku kybernetickej</w:t>
      </w:r>
      <w:r w:rsid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a informačnej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bezpečnosti treba chápať ako vrcholový dokument, ktorý obsahuje strategické bezpečnostné ciele a požadovanú úroveň bezpečnosti. Je v nej potrebné zdôrazniť zodpovednosť vedenia za bezpečnosť organizácie a zároveň určiť aj rozsah jej aplikácie (či platí pre celú organizáciu, alebo len jej časť). Vyhláška o bezpečnostných opatreniach umožňuje, aby bezpečnostná stratégia mohla byť prijatá priamo aj vo forme bezpečnostnej politiky kybernetickej </w:t>
      </w:r>
      <w:r w:rsidR="0061555F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 informačnej 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bezpečnosti. Súbor politík informačnej bezpečnosti schvaľuje vedenie organizácie a mal by sa vydať a oznámiť všetkým zamestnancom, ako aj relevantným tretím stranám. Taktiež ani politika ako súčasť bezpečnostnej dokumentácie nie je jednorazová aktivita. Musí byť stanovená periodicita jej preskúmavania a jej aktualizácie, preskúmavaná musí byť v plánovaných intervaloch, resp. bezodkladne vždy pri výskyte významných zmien.</w:t>
      </w:r>
    </w:p>
    <w:p w14:paraId="6CB69C4C" w14:textId="56234127" w:rsidR="002775B1" w:rsidRPr="002775B1" w:rsidRDefault="0061555F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Z</w:t>
      </w:r>
      <w:r w:rsidR="002775B1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odpovednosť za komplexné riešenie kybernetickej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 informačnej </w:t>
      </w:r>
      <w:r w:rsidR="002775B1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bezpečnosti musí „ležať na pleciach“ vrcholového vedenia organizácie. Samotné úlohy, ktoré z tejto činnosti vyplývajú, musia byť delegované na manažéra kybernetickej bezpečnosti. Manažér kybernetickej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 informačnej </w:t>
      </w:r>
      <w:r w:rsidR="002775B1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bezpečnosti zodpovedá za organizovanie systému riadenia kybernetickej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 informačnej </w:t>
      </w:r>
      <w:r w:rsidR="002775B1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bezpečnosti a jeho úloha je kľúčová pre správne nastavenie fungovania systému riadenia kybernetickej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 informačnej </w:t>
      </w:r>
      <w:r w:rsidR="002775B1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bezpečnosti. Manažér kybernetickej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 informačnej </w:t>
      </w:r>
      <w:r w:rsidR="002775B1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bezpečnosti musí mať možnosť predkladať návrhy a oznamovať informácie v oblasti kybernetickej </w:t>
      </w:r>
      <w:r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 informačnej </w:t>
      </w:r>
      <w:r w:rsidR="002775B1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bezpečnosti priamo štatutárnemu orgánu organizácie a zároveň musí byť nezávislý od riadenia prevádzky a vývoja služieb informačných technológií. Jeho povinnosťou bude informovať vedenie o činnostiach vyplývajúcich z výkonu úlohy, teda najmä o stave systému riadenia kybernetickej bezpečnosti.</w:t>
      </w:r>
    </w:p>
    <w:p w14:paraId="349701E0" w14:textId="77777777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Riešenie, resp. nedostatočné riešenie informačnej a kybernetickej bezpečnosti môže mať veľký dosah na celkové fungovanie organizácie. Úlohou vedenia organizácie je najmä zabezpečiť, aby sa na jednej strane k manažérovi kybernetickej bezpečnosti dostávali všetky relevantné informácie, no na strane druhej, aby bola kybernetická bezpečnosť presadzovaná naprieč všetkými dôležitými procesmi, projektmi a činnosťami organizácie a aby všetci zamestnanci (vedúcich pracovníkov nevynímajúc) podporovali aktivity súvisiace s kybernetickou aj informačnou bezpečnosťou.</w:t>
      </w:r>
    </w:p>
    <w:p w14:paraId="202FC85E" w14:textId="402467B5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Aby bolo možné zavedený systém bezpečnosti udržiavať funkčný a neustále ho zlepšovať, je potrebné periodicky preskúmavať jeho efektívnosť. V správach z preverenia manažér </w:t>
      </w:r>
      <w:r w:rsidR="00ED5724" w:rsidRP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kybernetickej</w:t>
      </w:r>
      <w:r w:rsid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a informačnej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bezpečnosti pripravuje aj návrhy opatrení na zlepšenie. Je žiad</w:t>
      </w:r>
      <w:r w:rsid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ú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ce ho schváliť manažmentom, pripraviť zdroje a plán implementácie schválených opatrení. Týmto sa proces implementácie bezpečnostných opatrení a budovania systému </w:t>
      </w:r>
      <w:r w:rsidR="00ED5724" w:rsidRP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kybernetickej</w:t>
      </w:r>
      <w:r w:rsidR="00ED5724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a informačnej</w:t>
      </w: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 xml:space="preserve"> bezpečnosti v rámci organizácie uzatvára a plynule prechádza opäť do plánovania, vytvorenia, implementácie a ďalšieho preverovania bezpečnostných opatrení.</w:t>
      </w:r>
    </w:p>
    <w:p w14:paraId="64267764" w14:textId="77777777" w:rsidR="002775B1" w:rsidRPr="002775B1" w:rsidRDefault="002775B1" w:rsidP="002775B1">
      <w:pPr>
        <w:spacing w:before="144" w:after="144" w:line="158" w:lineRule="atLeast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r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Súvisiace právne predpisy ZZ SR</w:t>
      </w:r>
    </w:p>
    <w:p w14:paraId="32BF2ED7" w14:textId="77777777" w:rsidR="002775B1" w:rsidRPr="002775B1" w:rsidRDefault="00000000" w:rsidP="002775B1">
      <w:pPr>
        <w:numPr>
          <w:ilvl w:val="0"/>
          <w:numId w:val="4"/>
        </w:numPr>
        <w:spacing w:before="100" w:beforeAutospacing="1" w:after="100" w:afterAutospacing="1" w:line="158" w:lineRule="atLeast"/>
        <w:ind w:left="33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hyperlink r:id="rId21" w:history="1">
        <w:r w:rsidR="002775B1"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69/2018 Z. z.</w:t>
        </w:r>
      </w:hyperlink>
      <w:r w:rsidR="002775B1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Zákon o kybernetickej bezpečnosti</w:t>
      </w:r>
    </w:p>
    <w:p w14:paraId="6B74BD14" w14:textId="77777777" w:rsidR="002775B1" w:rsidRPr="002775B1" w:rsidRDefault="00000000" w:rsidP="002775B1">
      <w:pPr>
        <w:numPr>
          <w:ilvl w:val="0"/>
          <w:numId w:val="4"/>
        </w:numPr>
        <w:spacing w:before="100" w:beforeAutospacing="1" w:after="100" w:afterAutospacing="1" w:line="158" w:lineRule="atLeast"/>
        <w:ind w:left="33"/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</w:pPr>
      <w:hyperlink r:id="rId22" w:history="1">
        <w:r w:rsidR="002775B1" w:rsidRPr="002775B1">
          <w:rPr>
            <w:rFonts w:ascii="Times New Roman" w:eastAsia="Times New Roman" w:hAnsi="Times New Roman" w:cs="Times New Roman"/>
            <w:color w:val="009061"/>
            <w:sz w:val="24"/>
            <w:szCs w:val="24"/>
            <w:u w:val="single"/>
            <w:lang w:eastAsia="sk-SK"/>
          </w:rPr>
          <w:t>362/2018 Z. z.</w:t>
        </w:r>
      </w:hyperlink>
      <w:r w:rsidR="002775B1" w:rsidRPr="002775B1">
        <w:rPr>
          <w:rFonts w:ascii="Times New Roman" w:eastAsia="Times New Roman" w:hAnsi="Times New Roman" w:cs="Times New Roman"/>
          <w:color w:val="363636"/>
          <w:sz w:val="24"/>
          <w:szCs w:val="24"/>
          <w:lang w:eastAsia="sk-SK"/>
        </w:rPr>
        <w:t> Vyhláška, ktorou sa ustanovuje obsah bezpečnostných opatrení, obsah a štruktúra bezpečnostnej dokumentácie a rozsah všeobecných bezpečnostných opatrení</w:t>
      </w:r>
    </w:p>
    <w:p w14:paraId="78869356" w14:textId="77777777" w:rsidR="001676E0" w:rsidRDefault="001676E0"/>
    <w:sectPr w:rsidR="001676E0" w:rsidSect="009D733E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2D01" w14:textId="77777777" w:rsidR="009D733E" w:rsidRDefault="009D733E" w:rsidP="00377251">
      <w:pPr>
        <w:spacing w:after="0" w:line="240" w:lineRule="auto"/>
      </w:pPr>
      <w:r>
        <w:separator/>
      </w:r>
    </w:p>
  </w:endnote>
  <w:endnote w:type="continuationSeparator" w:id="0">
    <w:p w14:paraId="3241B9A3" w14:textId="77777777" w:rsidR="009D733E" w:rsidRDefault="009D733E" w:rsidP="00377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BAFAB" w14:textId="77777777" w:rsidR="009D733E" w:rsidRDefault="009D733E" w:rsidP="00377251">
      <w:pPr>
        <w:spacing w:after="0" w:line="240" w:lineRule="auto"/>
      </w:pPr>
      <w:r>
        <w:separator/>
      </w:r>
    </w:p>
  </w:footnote>
  <w:footnote w:type="continuationSeparator" w:id="0">
    <w:p w14:paraId="2892FCA2" w14:textId="77777777" w:rsidR="009D733E" w:rsidRDefault="009D733E" w:rsidP="00377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8B5A" w14:textId="348A8C9B" w:rsidR="00377251" w:rsidRPr="00377251" w:rsidRDefault="00377251" w:rsidP="00377251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377251">
      <w:rPr>
        <w:rFonts w:ascii="Times New Roman" w:hAnsi="Times New Roman" w:cs="Times New Roman"/>
        <w:sz w:val="24"/>
        <w:szCs w:val="24"/>
      </w:rPr>
      <w:t xml:space="preserve">PETAN parket, </w:t>
    </w:r>
    <w:proofErr w:type="spellStart"/>
    <w:r w:rsidRPr="00377251">
      <w:rPr>
        <w:rFonts w:ascii="Times New Roman" w:hAnsi="Times New Roman" w:cs="Times New Roman"/>
        <w:sz w:val="24"/>
        <w:szCs w:val="24"/>
      </w:rPr>
      <w:t>s.r.o</w:t>
    </w:r>
    <w:proofErr w:type="spellEnd"/>
    <w:r w:rsidRPr="00377251">
      <w:rPr>
        <w:rFonts w:ascii="Times New Roman" w:hAnsi="Times New Roman" w:cs="Times New Roman"/>
        <w:sz w:val="24"/>
        <w:szCs w:val="24"/>
      </w:rPr>
      <w:t>., M.R. Štefánika 314, 956 18 Bošany, IČO: 50 341 189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B0C49"/>
    <w:multiLevelType w:val="multilevel"/>
    <w:tmpl w:val="0698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31215"/>
    <w:multiLevelType w:val="multilevel"/>
    <w:tmpl w:val="E528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7C378C"/>
    <w:multiLevelType w:val="multilevel"/>
    <w:tmpl w:val="59B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0D33B5"/>
    <w:multiLevelType w:val="multilevel"/>
    <w:tmpl w:val="DF3E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481709">
    <w:abstractNumId w:val="3"/>
  </w:num>
  <w:num w:numId="2" w16cid:durableId="968705307">
    <w:abstractNumId w:val="1"/>
  </w:num>
  <w:num w:numId="3" w16cid:durableId="1731465862">
    <w:abstractNumId w:val="0"/>
  </w:num>
  <w:num w:numId="4" w16cid:durableId="1079524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5B1"/>
    <w:rsid w:val="001676E0"/>
    <w:rsid w:val="002775B1"/>
    <w:rsid w:val="00377251"/>
    <w:rsid w:val="004614AF"/>
    <w:rsid w:val="0061555F"/>
    <w:rsid w:val="009D733E"/>
    <w:rsid w:val="00C922F9"/>
    <w:rsid w:val="00E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9CB4"/>
  <w15:docId w15:val="{DF3F6458-CA8D-4D3C-8675-AA0B6331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676E0"/>
  </w:style>
  <w:style w:type="paragraph" w:styleId="Nadpis1">
    <w:name w:val="heading 1"/>
    <w:basedOn w:val="Normlny"/>
    <w:link w:val="Nadpis1Char"/>
    <w:uiPriority w:val="9"/>
    <w:qFormat/>
    <w:rsid w:val="00277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2775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75B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2775B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77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abel">
    <w:name w:val="label"/>
    <w:basedOn w:val="Predvolenpsmoodseku"/>
    <w:rsid w:val="002775B1"/>
  </w:style>
  <w:style w:type="character" w:styleId="Hypertextovprepojenie">
    <w:name w:val="Hyperlink"/>
    <w:basedOn w:val="Predvolenpsmoodseku"/>
    <w:uiPriority w:val="99"/>
    <w:semiHidden/>
    <w:unhideWhenUsed/>
    <w:rsid w:val="002775B1"/>
    <w:rPr>
      <w:color w:val="0000FF"/>
      <w:u w:val="single"/>
    </w:rPr>
  </w:style>
  <w:style w:type="character" w:customStyle="1" w:styleId="inlinenote">
    <w:name w:val="inlinenote"/>
    <w:basedOn w:val="Predvolenpsmoodseku"/>
    <w:rsid w:val="002775B1"/>
  </w:style>
  <w:style w:type="paragraph" w:styleId="Textbubliny">
    <w:name w:val="Balloon Text"/>
    <w:basedOn w:val="Normlny"/>
    <w:link w:val="TextbublinyChar"/>
    <w:uiPriority w:val="99"/>
    <w:semiHidden/>
    <w:unhideWhenUsed/>
    <w:rsid w:val="0027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75B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7251"/>
  </w:style>
  <w:style w:type="paragraph" w:styleId="Pta">
    <w:name w:val="footer"/>
    <w:basedOn w:val="Normlny"/>
    <w:link w:val="PtaChar"/>
    <w:uiPriority w:val="99"/>
    <w:unhideWhenUsed/>
    <w:rsid w:val="00377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3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5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5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2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2510">
                      <w:marLeft w:val="0"/>
                      <w:marRight w:val="0"/>
                      <w:marTop w:val="83"/>
                      <w:marBottom w:val="0"/>
                      <w:divBdr>
                        <w:top w:val="single" w:sz="2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925363">
                      <w:marLeft w:val="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46433">
                      <w:marLeft w:val="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98472">
                      <w:marLeft w:val="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59600">
                      <w:marLeft w:val="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26977">
                  <w:marLeft w:val="0"/>
                  <w:marRight w:val="0"/>
                  <w:marTop w:val="83"/>
                  <w:marBottom w:val="0"/>
                  <w:divBdr>
                    <w:top w:val="single" w:sz="2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5162">
                  <w:marLeft w:val="0"/>
                  <w:marRight w:val="0"/>
                  <w:marTop w:val="83"/>
                  <w:marBottom w:val="0"/>
                  <w:divBdr>
                    <w:top w:val="single" w:sz="2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zpecnostvpraxi.sk/form/goto.ashx?t=27&amp;p=4804459&amp;f=2" TargetMode="External"/><Relationship Id="rId13" Type="http://schemas.openxmlformats.org/officeDocument/2006/relationships/hyperlink" Target="https://www.bezpecnostvpraxi.sk/form/goto.ashx?t=40&amp;p=13679358" TargetMode="External"/><Relationship Id="rId18" Type="http://schemas.openxmlformats.org/officeDocument/2006/relationships/hyperlink" Target="https://www.bezpecnostvpraxi.sk/form/goto.ashx?t=27&amp;p=4804671-4804684&amp;f=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pi.sk/zz/2018-6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bezpecnostvpraxi.sk/form/goto.ashx?t=27&amp;p=4804668-4804691&amp;f=2" TargetMode="External"/><Relationship Id="rId17" Type="http://schemas.openxmlformats.org/officeDocument/2006/relationships/hyperlink" Target="https://www.bezpecnostvpraxi.sk/form/goto.ashx?t=26&amp;p=4985417&amp;f=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ezpecnostvpraxi.sk/form/goto.ashx?t=27&amp;p=4805011-4805149&amp;f=2" TargetMode="External"/><Relationship Id="rId20" Type="http://schemas.openxmlformats.org/officeDocument/2006/relationships/hyperlink" Target="https://www.bezpecnostvpraxi.sk/form/goto.ashx?t=27&amp;p=4985431-4985448&amp;f=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zpecnostvpraxi.sk/form/goto.ashx?t=40&amp;p=1367935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ezpecnostvpraxi.sk/form/goto.ashx?t=27&amp;p=4805011-4805149&amp;f=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bezpecnostvpraxi.sk/form/goto.ashx?t=27&amp;p=4804668-4804691&amp;f=2" TargetMode="External"/><Relationship Id="rId19" Type="http://schemas.openxmlformats.org/officeDocument/2006/relationships/hyperlink" Target="https://www.bezpecnostvpraxi.sk/form/goto.ashx?t=27&amp;p=4985475-4985695&amp;f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zpecnostvpraxi.sk/form/goto.ashx?t=27&amp;p=4804460&amp;f=2" TargetMode="External"/><Relationship Id="rId14" Type="http://schemas.openxmlformats.org/officeDocument/2006/relationships/hyperlink" Target="https://www.bezpecnostvpraxi.sk/form/goto.ashx?t=27&amp;p=4804668-4804691&amp;f=2" TargetMode="External"/><Relationship Id="rId22" Type="http://schemas.openxmlformats.org/officeDocument/2006/relationships/hyperlink" Target="http://www.epi.sk/zz/2018-36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5</cp:revision>
  <dcterms:created xsi:type="dcterms:W3CDTF">2022-03-23T13:30:00Z</dcterms:created>
  <dcterms:modified xsi:type="dcterms:W3CDTF">2024-04-10T08:35:00Z</dcterms:modified>
</cp:coreProperties>
</file>